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1DDC" w14:textId="6B75F303" w:rsidR="0020241D" w:rsidRPr="00C658CC" w:rsidRDefault="0020241D" w:rsidP="0020241D">
      <w:pPr>
        <w:pStyle w:val="a8"/>
        <w:tabs>
          <w:tab w:val="right" w:pos="9639"/>
        </w:tabs>
        <w:jc w:val="both"/>
        <w:rPr>
          <w:rFonts w:eastAsiaTheme="minorEastAsia" w:cs="Arial"/>
          <w:noProof w:val="0"/>
          <w:sz w:val="24"/>
          <w:lang w:eastAsia="zh-CN"/>
        </w:rPr>
      </w:pPr>
      <w:bookmarkStart w:id="0" w:name="OLE_LINK28"/>
      <w:bookmarkStart w:id="1"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5bis</w:t>
      </w:r>
      <w:r w:rsidRPr="00273715">
        <w:rPr>
          <w:rFonts w:cs="Arial"/>
          <w:noProof w:val="0"/>
          <w:sz w:val="24"/>
          <w:lang w:eastAsia="zh-CN"/>
        </w:rPr>
        <w:tab/>
      </w:r>
      <w:r w:rsidR="003822E8" w:rsidRPr="003822E8">
        <w:rPr>
          <w:rFonts w:cs="Arial"/>
          <w:noProof w:val="0"/>
          <w:sz w:val="24"/>
          <w:lang w:eastAsia="zh-CN"/>
        </w:rPr>
        <w:t>R3-245454</w:t>
      </w:r>
    </w:p>
    <w:p w14:paraId="1755652E" w14:textId="77777777" w:rsidR="0020241D" w:rsidRDefault="0020241D" w:rsidP="0020241D">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Hefei</w:t>
      </w:r>
      <w:r>
        <w:rPr>
          <w:rFonts w:cs="Arial"/>
          <w:bCs/>
          <w:noProof w:val="0"/>
          <w:sz w:val="24"/>
          <w:szCs w:val="24"/>
        </w:rPr>
        <w:t>,</w:t>
      </w:r>
      <w:r>
        <w:rPr>
          <w:rFonts w:eastAsiaTheme="minorEastAsia" w:cs="Arial" w:hint="eastAsia"/>
          <w:bCs/>
          <w:noProof w:val="0"/>
          <w:sz w:val="24"/>
          <w:szCs w:val="24"/>
          <w:lang w:eastAsia="zh-CN"/>
        </w:rPr>
        <w:t xml:space="preserve"> China,</w:t>
      </w:r>
      <w:r>
        <w:rPr>
          <w:rFonts w:cs="Arial"/>
          <w:bCs/>
          <w:noProof w:val="0"/>
          <w:sz w:val="24"/>
          <w:szCs w:val="24"/>
        </w:rPr>
        <w:t xml:space="preserve"> </w:t>
      </w:r>
      <w:r>
        <w:rPr>
          <w:rFonts w:eastAsiaTheme="minorEastAsia" w:cs="Arial" w:hint="eastAsia"/>
          <w:bCs/>
          <w:noProof w:val="0"/>
          <w:sz w:val="24"/>
          <w:szCs w:val="24"/>
          <w:lang w:eastAsia="zh-CN"/>
        </w:rPr>
        <w:t>14</w:t>
      </w:r>
      <w:r w:rsidRPr="00001FD0">
        <w:rPr>
          <w:rFonts w:cs="Arial"/>
          <w:bCs/>
          <w:noProof w:val="0"/>
          <w:sz w:val="24"/>
          <w:szCs w:val="24"/>
          <w:vertAlign w:val="superscript"/>
        </w:rPr>
        <w:t>th</w:t>
      </w:r>
      <w:r>
        <w:rPr>
          <w:rFonts w:cs="Arial"/>
          <w:bCs/>
          <w:noProof w:val="0"/>
          <w:sz w:val="24"/>
          <w:szCs w:val="24"/>
        </w:rPr>
        <w:t xml:space="preserve"> </w:t>
      </w:r>
      <w:r w:rsidRPr="00001FD0">
        <w:rPr>
          <w:rFonts w:cs="Arial"/>
          <w:bCs/>
          <w:noProof w:val="0"/>
          <w:sz w:val="24"/>
          <w:szCs w:val="24"/>
        </w:rPr>
        <w:t xml:space="preserve">– </w:t>
      </w:r>
      <w:r>
        <w:rPr>
          <w:rFonts w:eastAsiaTheme="minorEastAsia" w:cs="Arial" w:hint="eastAsia"/>
          <w:bCs/>
          <w:noProof w:val="0"/>
          <w:sz w:val="24"/>
          <w:szCs w:val="24"/>
          <w:lang w:eastAsia="zh-CN"/>
        </w:rPr>
        <w:t>18</w:t>
      </w:r>
      <w:r>
        <w:rPr>
          <w:rFonts w:eastAsiaTheme="minorEastAsia" w:cs="Arial" w:hint="eastAsia"/>
          <w:bCs/>
          <w:noProof w:val="0"/>
          <w:sz w:val="24"/>
          <w:szCs w:val="24"/>
          <w:vertAlign w:val="superscript"/>
          <w:lang w:eastAsia="zh-CN"/>
        </w:rPr>
        <w:t>th</w:t>
      </w:r>
      <w:r>
        <w:rPr>
          <w:rFonts w:eastAsiaTheme="minorEastAsia" w:cs="Arial" w:hint="eastAsia"/>
          <w:bCs/>
          <w:noProof w:val="0"/>
          <w:sz w:val="24"/>
          <w:szCs w:val="24"/>
          <w:lang w:eastAsia="zh-CN"/>
        </w:rPr>
        <w:t xml:space="preserve"> October</w:t>
      </w:r>
      <w:r w:rsidRPr="00001FD0">
        <w:rPr>
          <w:rFonts w:cs="Arial"/>
          <w:bCs/>
          <w:noProof w:val="0"/>
          <w:sz w:val="24"/>
          <w:szCs w:val="24"/>
        </w:rPr>
        <w:t xml:space="preserve"> 2024</w:t>
      </w:r>
    </w:p>
    <w:bookmarkEnd w:id="0"/>
    <w:p w14:paraId="66968363" w14:textId="77777777" w:rsidR="0037119B" w:rsidRPr="0020241D" w:rsidRDefault="0037119B" w:rsidP="0037119B">
      <w:pPr>
        <w:pStyle w:val="ae"/>
        <w:jc w:val="both"/>
        <w:rPr>
          <w:rFonts w:eastAsia="宋体"/>
          <w:b w:val="0"/>
          <w:i w:val="0"/>
          <w:noProof w:val="0"/>
          <w:sz w:val="24"/>
          <w:lang w:eastAsia="zh-CN"/>
        </w:rPr>
      </w:pPr>
    </w:p>
    <w:p w14:paraId="55B656A1" w14:textId="50DA3774"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AC49CC">
        <w:rPr>
          <w:rFonts w:ascii="Arial" w:hAnsi="Arial" w:hint="eastAsia"/>
          <w:sz w:val="24"/>
          <w:lang w:eastAsia="zh-CN"/>
        </w:rPr>
        <w:t>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29E69CC2"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7450">
        <w:rPr>
          <w:rFonts w:ascii="Arial" w:hAnsi="Arial" w:hint="eastAsia"/>
          <w:sz w:val="24"/>
          <w:lang w:eastAsia="zh-CN"/>
        </w:rPr>
        <w:t xml:space="preserve">Context Management and Data Transport </w:t>
      </w:r>
      <w:r w:rsidR="00323EAE">
        <w:rPr>
          <w:rFonts w:ascii="Arial" w:hAnsi="Arial" w:hint="eastAsia"/>
          <w:sz w:val="24"/>
          <w:lang w:eastAsia="zh-CN"/>
        </w:rPr>
        <w:t>of 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7A8B6D" w14:textId="34742489" w:rsidR="00137528" w:rsidRPr="00716C7C" w:rsidRDefault="00951AC2" w:rsidP="00897C86">
      <w:pPr>
        <w:spacing w:after="120"/>
        <w:jc w:val="both"/>
        <w:rPr>
          <w:rFonts w:ascii="Aptos" w:eastAsia="宋体" w:hAnsi="Aptos"/>
          <w:lang w:eastAsia="zh-CN"/>
        </w:rPr>
      </w:pPr>
      <w:bookmarkStart w:id="2" w:name="OLE_LINK1"/>
      <w:bookmarkStart w:id="3" w:name="OLE_LINK2"/>
      <w:r w:rsidRPr="00716C7C">
        <w:rPr>
          <w:rFonts w:ascii="Aptos" w:hAnsi="Aptos"/>
        </w:rPr>
        <w:t xml:space="preserve">In this </w:t>
      </w:r>
      <w:r w:rsidR="00E666AA" w:rsidRPr="00716C7C">
        <w:rPr>
          <w:rFonts w:ascii="Aptos" w:hAnsi="Aptos"/>
        </w:rPr>
        <w:t>contribution</w:t>
      </w:r>
      <w:r w:rsidR="00815FB3" w:rsidRPr="00716C7C">
        <w:rPr>
          <w:rFonts w:ascii="Aptos" w:hAnsi="Aptos"/>
        </w:rPr>
        <w:t xml:space="preserve">, </w:t>
      </w:r>
      <w:r w:rsidR="00E666AA" w:rsidRPr="00716C7C">
        <w:rPr>
          <w:rFonts w:ascii="Aptos" w:hAnsi="Aptos"/>
        </w:rPr>
        <w:t xml:space="preserve">we discuss </w:t>
      </w:r>
      <w:r w:rsidR="002D7A5A">
        <w:rPr>
          <w:rFonts w:ascii="Aptos" w:hAnsi="Aptos" w:hint="eastAsia"/>
          <w:lang w:eastAsia="zh-CN"/>
        </w:rPr>
        <w:t>context management and data transport</w:t>
      </w:r>
      <w:r w:rsidR="00533F89" w:rsidRPr="00716C7C">
        <w:rPr>
          <w:rFonts w:ascii="Aptos" w:hAnsi="Aptos"/>
        </w:rPr>
        <w:t xml:space="preserve"> of AIoT</w:t>
      </w:r>
      <w:r w:rsidR="006C50D9" w:rsidRPr="00716C7C">
        <w:rPr>
          <w:rFonts w:ascii="Aptos" w:hAnsi="Aptos"/>
        </w:rPr>
        <w:t xml:space="preserve"> related to RAN3 impact</w:t>
      </w:r>
      <w:r w:rsidR="00A50B21" w:rsidRPr="00716C7C">
        <w:rPr>
          <w:rFonts w:ascii="Aptos" w:hAnsi="Aptos"/>
        </w:rP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DDF5007" w14:textId="77777777" w:rsidR="00841A2F" w:rsidRPr="00841A2F" w:rsidRDefault="00841A2F" w:rsidP="00841A2F">
      <w:pPr>
        <w:spacing w:after="120"/>
        <w:rPr>
          <w:rFonts w:ascii="Aptos" w:eastAsia="宋体" w:hAnsi="Aptos"/>
          <w:lang w:eastAsia="zh-CN"/>
        </w:rPr>
      </w:pPr>
      <w:r w:rsidRPr="00841A2F">
        <w:rPr>
          <w:rFonts w:ascii="Aptos" w:eastAsia="宋体" w:hAnsi="Aptos"/>
          <w:lang w:eastAsia="zh-CN"/>
        </w:rPr>
        <w:t>In the legacy, the main functions of the NG interface include [1]:</w:t>
      </w:r>
    </w:p>
    <w:p w14:paraId="7B0E09EF" w14:textId="77777777" w:rsidR="00841A2F" w:rsidRPr="00841A2F" w:rsidRDefault="00841A2F" w:rsidP="00841A2F">
      <w:pPr>
        <w:pStyle w:val="B1"/>
        <w:spacing w:after="120"/>
        <w:rPr>
          <w:rFonts w:ascii="Aptos" w:hAnsi="Aptos"/>
          <w:lang w:eastAsia="zh-CN"/>
        </w:rPr>
      </w:pPr>
      <w:r w:rsidRPr="00841A2F">
        <w:rPr>
          <w:rFonts w:ascii="Aptos" w:hAnsi="Aptos"/>
          <w:lang w:eastAsia="zh-CN"/>
        </w:rPr>
        <w:t>-</w:t>
      </w:r>
      <w:r w:rsidRPr="00841A2F">
        <w:rPr>
          <w:rFonts w:ascii="Aptos" w:hAnsi="Aptos"/>
          <w:lang w:eastAsia="zh-CN"/>
        </w:rPr>
        <w:tab/>
        <w:t xml:space="preserve">Mobility management function, which enables the preparation, execution and completion of handover via the NG interface for </w:t>
      </w:r>
      <w:r w:rsidRPr="00841A2F">
        <w:rPr>
          <w:rFonts w:ascii="Aptos" w:hAnsi="Aptos"/>
        </w:rPr>
        <w:t>a CM-CONNECTED</w:t>
      </w:r>
      <w:r w:rsidRPr="00841A2F">
        <w:rPr>
          <w:rFonts w:ascii="Aptos" w:hAnsi="Aptos"/>
          <w:lang w:eastAsia="zh-CN"/>
        </w:rPr>
        <w:t xml:space="preserve"> UE.</w:t>
      </w:r>
    </w:p>
    <w:p w14:paraId="64A01D84" w14:textId="77777777" w:rsidR="00841A2F" w:rsidRPr="00841A2F" w:rsidRDefault="00841A2F" w:rsidP="00841A2F">
      <w:pPr>
        <w:pStyle w:val="B1"/>
        <w:spacing w:after="120"/>
        <w:rPr>
          <w:rFonts w:ascii="Aptos" w:hAnsi="Aptos"/>
          <w:lang w:eastAsia="zh-CN"/>
        </w:rPr>
      </w:pPr>
      <w:r w:rsidRPr="00841A2F">
        <w:rPr>
          <w:rFonts w:ascii="Aptos" w:hAnsi="Aptos"/>
          <w:lang w:eastAsia="zh-CN"/>
        </w:rPr>
        <w:t>-</w:t>
      </w:r>
      <w:r w:rsidRPr="00841A2F">
        <w:rPr>
          <w:rFonts w:ascii="Aptos" w:hAnsi="Aptos"/>
          <w:lang w:eastAsia="zh-CN"/>
        </w:rPr>
        <w:tab/>
        <w:t xml:space="preserve">PDU session management function, which </w:t>
      </w:r>
      <w:r w:rsidRPr="00841A2F">
        <w:rPr>
          <w:rFonts w:ascii="Aptos" w:hAnsi="Aptos"/>
        </w:rPr>
        <w:t>is responsible for establishing, modifying and releasing the involved PDU sessions NG-RAN resources for user data transport once a UE context is available in the NG-RAN node.</w:t>
      </w:r>
    </w:p>
    <w:p w14:paraId="6D994F5B" w14:textId="39EEA397" w:rsidR="00841A2F" w:rsidRPr="00841A2F" w:rsidRDefault="00841A2F" w:rsidP="00841A2F">
      <w:pPr>
        <w:spacing w:after="120"/>
        <w:rPr>
          <w:rFonts w:ascii="Aptos" w:eastAsia="宋体" w:hAnsi="Aptos"/>
          <w:lang w:eastAsia="zh-CN"/>
        </w:rPr>
      </w:pPr>
      <w:r w:rsidRPr="00841A2F">
        <w:rPr>
          <w:rFonts w:ascii="Aptos" w:eastAsia="宋体" w:hAnsi="Aptos"/>
          <w:lang w:eastAsia="zh-CN"/>
        </w:rPr>
        <w:t xml:space="preserve">According to the SID, there is no mobility support for the AIoT </w:t>
      </w:r>
      <w:r w:rsidR="00642BBD" w:rsidRPr="00841A2F">
        <w:rPr>
          <w:rFonts w:ascii="Aptos" w:eastAsia="宋体" w:hAnsi="Aptos"/>
          <w:lang w:eastAsia="zh-CN"/>
        </w:rPr>
        <w:t>device</w:t>
      </w:r>
      <w:r w:rsidRPr="00841A2F">
        <w:rPr>
          <w:rFonts w:ascii="Aptos" w:eastAsia="宋体" w:hAnsi="Aptos"/>
          <w:lang w:eastAsia="zh-CN"/>
        </w:rPr>
        <w:t xml:space="preserve">, </w:t>
      </w:r>
      <w:r w:rsidRPr="00841A2F">
        <w:rPr>
          <w:rFonts w:ascii="Aptos" w:eastAsia="宋体" w:hAnsi="Aptos"/>
          <w:lang w:val="en-US" w:eastAsia="ja-JP"/>
        </w:rPr>
        <w:t xml:space="preserve">i.e. at least no cell selection/re-selection -like function. Therefore, the mobility management function does not apply to the </w:t>
      </w:r>
      <w:r w:rsidRPr="00841A2F">
        <w:rPr>
          <w:rFonts w:ascii="Aptos" w:eastAsia="宋体" w:hAnsi="Aptos"/>
          <w:lang w:eastAsia="zh-CN"/>
        </w:rPr>
        <w:t>AIoT.</w:t>
      </w:r>
    </w:p>
    <w:p w14:paraId="2D86404F" w14:textId="77777777" w:rsidR="00841A2F" w:rsidRPr="00841A2F" w:rsidRDefault="00841A2F" w:rsidP="00841A2F">
      <w:pPr>
        <w:spacing w:after="120"/>
        <w:rPr>
          <w:rFonts w:ascii="Aptos" w:eastAsia="宋体" w:hAnsi="Aptos"/>
          <w:lang w:eastAsia="zh-CN"/>
        </w:rPr>
      </w:pPr>
      <w:r w:rsidRPr="00841A2F">
        <w:rPr>
          <w:rFonts w:ascii="Aptos" w:hAnsi="Aptos"/>
          <w:lang w:eastAsia="zh-CN"/>
        </w:rPr>
        <w:t xml:space="preserve">Considering that the </w:t>
      </w:r>
      <w:r w:rsidRPr="00841A2F">
        <w:rPr>
          <w:rFonts w:ascii="Aptos" w:eastAsia="宋体" w:hAnsi="Aptos"/>
          <w:lang w:eastAsia="zh-CN"/>
        </w:rPr>
        <w:t xml:space="preserve">AIoT device is with ultra-low power consumption and limited energy storage, the maximum message size is </w:t>
      </w:r>
      <w:r w:rsidRPr="00841A2F">
        <w:rPr>
          <w:rFonts w:ascii="Aptos" w:hAnsi="Aptos"/>
        </w:rPr>
        <w:t xml:space="preserve">approximately 1000 bits to be received by the AIoT device or to be transmitted from the AIoT device. Therefore, the data associated with the </w:t>
      </w:r>
      <w:r w:rsidRPr="00841A2F">
        <w:rPr>
          <w:rFonts w:ascii="Aptos" w:eastAsia="宋体" w:hAnsi="Aptos"/>
          <w:lang w:eastAsia="zh-CN"/>
        </w:rPr>
        <w:t>AIoT device could be transmitted via the control plane, and the PDU session management function is not needed.</w:t>
      </w:r>
    </w:p>
    <w:p w14:paraId="125DE00F" w14:textId="77777777" w:rsidR="00841A2F" w:rsidRPr="00841A2F" w:rsidRDefault="00841A2F" w:rsidP="00642BBD">
      <w:pPr>
        <w:spacing w:after="120"/>
        <w:ind w:left="1205" w:hangingChars="600" w:hanging="1205"/>
        <w:rPr>
          <w:rFonts w:ascii="Aptos" w:eastAsia="宋体" w:hAnsi="Aptos"/>
          <w:b/>
          <w:bCs/>
          <w:lang w:eastAsia="zh-CN"/>
        </w:rPr>
      </w:pPr>
      <w:r w:rsidRPr="00841A2F">
        <w:rPr>
          <w:rFonts w:ascii="Aptos" w:eastAsia="宋体" w:hAnsi="Aptos"/>
          <w:b/>
          <w:lang w:eastAsia="zh-CN"/>
        </w:rPr>
        <w:t xml:space="preserve">Proposal 1: </w:t>
      </w:r>
      <w:r w:rsidRPr="00841A2F">
        <w:rPr>
          <w:rFonts w:ascii="Aptos" w:hAnsi="Aptos"/>
          <w:b/>
          <w:bCs/>
        </w:rPr>
        <w:t>PDU session management and UE mobility management do not apply to the AIoT.</w:t>
      </w:r>
    </w:p>
    <w:p w14:paraId="36694C42"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 xml:space="preserve">The basic principle in 5GS is that the permanent subscriber identifier shall never be sent over air interface explicitly. Instead, a temporary identifier is introduced, e.g., 5G-S-TMSI used for paging, to hide the identity of a subscriber. </w:t>
      </w:r>
    </w:p>
    <w:p w14:paraId="009F4B49"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The same principle should apply to the AIoT. That is, the AIoT device ID (e.g., EPC) should not be sent in clear text. For topology 1, the AIoT device ID (e.g., EPC) should be included in the NAS/application message during the transmission between the AIoT RAN node and the AIoT-aware CN node.</w:t>
      </w:r>
    </w:p>
    <w:p w14:paraId="7A17D1AF" w14:textId="77777777" w:rsidR="00841A2F" w:rsidRPr="00841A2F" w:rsidRDefault="00841A2F" w:rsidP="00642BBD">
      <w:pPr>
        <w:spacing w:after="120"/>
        <w:ind w:left="1305" w:hangingChars="650" w:hanging="1305"/>
        <w:rPr>
          <w:rFonts w:ascii="Aptos" w:eastAsia="宋体" w:hAnsi="Aptos"/>
          <w:b/>
          <w:lang w:eastAsia="zh-CN"/>
        </w:rPr>
      </w:pPr>
      <w:bookmarkStart w:id="4" w:name="_Hlk141187092"/>
      <w:r w:rsidRPr="00841A2F">
        <w:rPr>
          <w:rFonts w:ascii="Aptos" w:eastAsia="宋体" w:hAnsi="Aptos"/>
          <w:b/>
          <w:lang w:eastAsia="zh-CN"/>
        </w:rPr>
        <w:t xml:space="preserve">Observation 1: </w:t>
      </w:r>
      <w:bookmarkEnd w:id="4"/>
      <w:r w:rsidRPr="00841A2F">
        <w:rPr>
          <w:rFonts w:ascii="Aptos" w:eastAsia="宋体" w:hAnsi="Aptos"/>
          <w:b/>
          <w:lang w:eastAsia="zh-CN"/>
        </w:rPr>
        <w:t>For topology 1, the AIoT device ID (e.g., EPC) should be included in the NAS/application message during the transmission between the AIoT RAN node and the AioT-aware CN node.</w:t>
      </w:r>
    </w:p>
    <w:p w14:paraId="7ED4202E" w14:textId="65FC11E0"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Similarly, for topology 2, the A</w:t>
      </w:r>
      <w:r w:rsidR="00642BBD">
        <w:rPr>
          <w:rFonts w:ascii="Aptos" w:eastAsia="宋体" w:hAnsi="Aptos" w:hint="eastAsia"/>
          <w:bCs/>
          <w:lang w:eastAsia="zh-CN"/>
        </w:rPr>
        <w:t>I</w:t>
      </w:r>
      <w:r w:rsidRPr="00841A2F">
        <w:rPr>
          <w:rFonts w:ascii="Aptos" w:eastAsia="宋体" w:hAnsi="Aptos"/>
          <w:bCs/>
          <w:lang w:eastAsia="zh-CN"/>
        </w:rPr>
        <w:t>oT device ID (e.g., EPC) should be included in the NAS/application message during the transmission between the UE reader and the A</w:t>
      </w:r>
      <w:r w:rsidR="00642BBD">
        <w:rPr>
          <w:rFonts w:ascii="Aptos" w:eastAsia="宋体" w:hAnsi="Aptos" w:hint="eastAsia"/>
          <w:bCs/>
          <w:lang w:eastAsia="zh-CN"/>
        </w:rPr>
        <w:t>I</w:t>
      </w:r>
      <w:r w:rsidRPr="00841A2F">
        <w:rPr>
          <w:rFonts w:ascii="Aptos" w:eastAsia="宋体" w:hAnsi="Aptos"/>
          <w:bCs/>
          <w:lang w:eastAsia="zh-CN"/>
        </w:rPr>
        <w:t>oT-aware CN node.</w:t>
      </w:r>
    </w:p>
    <w:p w14:paraId="2AE388F6" w14:textId="63BC2C0E" w:rsidR="00841A2F" w:rsidRPr="00841A2F" w:rsidRDefault="00841A2F" w:rsidP="00642BBD">
      <w:pPr>
        <w:spacing w:after="120"/>
        <w:ind w:left="1305" w:hangingChars="650" w:hanging="1305"/>
        <w:rPr>
          <w:rFonts w:ascii="Aptos" w:eastAsia="宋体" w:hAnsi="Aptos"/>
          <w:b/>
          <w:lang w:eastAsia="zh-CN"/>
        </w:rPr>
      </w:pPr>
      <w:r w:rsidRPr="00841A2F">
        <w:rPr>
          <w:rFonts w:ascii="Aptos" w:eastAsia="宋体" w:hAnsi="Aptos"/>
          <w:b/>
          <w:lang w:eastAsia="zh-CN"/>
        </w:rPr>
        <w:t>Observation 2: For topology 2, the A</w:t>
      </w:r>
      <w:r w:rsidR="000C078E">
        <w:rPr>
          <w:rFonts w:ascii="Aptos" w:eastAsia="宋体" w:hAnsi="Aptos" w:hint="eastAsia"/>
          <w:b/>
          <w:lang w:eastAsia="zh-CN"/>
        </w:rPr>
        <w:t>I</w:t>
      </w:r>
      <w:r w:rsidRPr="00841A2F">
        <w:rPr>
          <w:rFonts w:ascii="Aptos" w:eastAsia="宋体" w:hAnsi="Aptos"/>
          <w:b/>
          <w:lang w:eastAsia="zh-CN"/>
        </w:rPr>
        <w:t>oT device ID (e.g., EPC) should be included in the NAS/application message during the transmission between the UE reader and the AIoT-aware CN node.</w:t>
      </w:r>
    </w:p>
    <w:p w14:paraId="760A0FC5" w14:textId="77777777" w:rsidR="00841A2F" w:rsidRPr="00841A2F" w:rsidRDefault="00841A2F" w:rsidP="00841A2F">
      <w:pPr>
        <w:spacing w:after="120"/>
        <w:rPr>
          <w:rFonts w:ascii="Aptos" w:hAnsi="Aptos"/>
          <w:lang w:eastAsia="zh-CN"/>
        </w:rPr>
      </w:pPr>
      <w:r w:rsidRPr="00841A2F">
        <w:rPr>
          <w:rFonts w:ascii="Aptos" w:hAnsi="Aptos"/>
          <w:lang w:eastAsia="zh-CN"/>
        </w:rPr>
        <w:t>Therefore, the AIoT device ID (e.g., EPC) should be transparent to the AIoT RAN node.</w:t>
      </w:r>
    </w:p>
    <w:p w14:paraId="7B0BE090" w14:textId="77777777" w:rsidR="00841A2F" w:rsidRPr="000C078E" w:rsidRDefault="00841A2F" w:rsidP="000C078E">
      <w:pPr>
        <w:spacing w:after="120"/>
        <w:ind w:left="1200" w:hangingChars="600" w:hanging="1200"/>
        <w:rPr>
          <w:rFonts w:ascii="Aptos" w:hAnsi="Aptos"/>
          <w:b/>
          <w:bCs/>
        </w:rPr>
      </w:pPr>
      <w:r w:rsidRPr="000C078E">
        <w:rPr>
          <w:rFonts w:ascii="Aptos" w:hAnsi="Aptos"/>
          <w:b/>
          <w:bCs/>
        </w:rPr>
        <w:t>Proposal 2: The</w:t>
      </w:r>
      <w:r w:rsidRPr="00841A2F">
        <w:rPr>
          <w:rFonts w:ascii="Aptos" w:hAnsi="Aptos"/>
          <w:b/>
          <w:bCs/>
        </w:rPr>
        <w:t xml:space="preserve"> permanent AIoT device ID (e.g., EPC) should be transparent to the AIoT RAN node</w:t>
      </w:r>
      <w:r w:rsidRPr="000C078E">
        <w:rPr>
          <w:rFonts w:ascii="Aptos" w:hAnsi="Aptos"/>
          <w:b/>
          <w:bCs/>
        </w:rPr>
        <w:t>.</w:t>
      </w:r>
    </w:p>
    <w:p w14:paraId="11B2F903" w14:textId="77777777" w:rsidR="00841A2F" w:rsidRPr="00841A2F" w:rsidRDefault="00841A2F" w:rsidP="00841A2F">
      <w:pPr>
        <w:spacing w:after="120"/>
        <w:rPr>
          <w:rFonts w:ascii="Aptos" w:eastAsia="宋体" w:hAnsi="Aptos"/>
          <w:bCs/>
          <w:lang w:eastAsia="zh-CN"/>
        </w:rPr>
      </w:pPr>
      <w:r w:rsidRPr="00841A2F">
        <w:rPr>
          <w:rFonts w:ascii="Aptos" w:hAnsi="Aptos"/>
        </w:rPr>
        <w:t xml:space="preserve">In legacy NR system, paging ID is </w:t>
      </w:r>
      <w:r w:rsidRPr="00841A2F">
        <w:rPr>
          <w:rFonts w:ascii="Aptos" w:hAnsi="Aptos"/>
          <w:lang w:eastAsia="zh-CN"/>
        </w:rPr>
        <w:t>included</w:t>
      </w:r>
      <w:r w:rsidRPr="00841A2F">
        <w:rPr>
          <w:rFonts w:ascii="Aptos" w:hAnsi="Aptos"/>
        </w:rPr>
        <w:t xml:space="preserve"> in the paging message, used to identify a UE or a group of UE. The UE(s) receiving the paging message and matching the paging ID may respond to the paging message. For AIoT inventory service, the AIoT-aware CN node should provide a temporary identifier included in the inventory request to the AIoT RAN node, used to select the AIoT device(s) by the AIoT RAN node. The A-IoT device(s) </w:t>
      </w:r>
      <w:r w:rsidRPr="00841A2F">
        <w:rPr>
          <w:rFonts w:ascii="Aptos" w:hAnsi="Aptos"/>
        </w:rPr>
        <w:lastRenderedPageBreak/>
        <w:t>receives the inventory request and determines whether to respond to the inventory request, e.g., performing random access to provide the AIoT device ID(s) (e.g., EPC) to the AIoT-aware CN node.</w:t>
      </w:r>
    </w:p>
    <w:p w14:paraId="1A07B5F1" w14:textId="77777777" w:rsidR="00841A2F" w:rsidRPr="000C078E" w:rsidRDefault="00841A2F" w:rsidP="006847A4">
      <w:pPr>
        <w:spacing w:after="120"/>
        <w:ind w:left="1100" w:hangingChars="550" w:hanging="1100"/>
        <w:rPr>
          <w:rFonts w:ascii="Aptos" w:hAnsi="Aptos"/>
          <w:b/>
          <w:bCs/>
        </w:rPr>
      </w:pPr>
      <w:r w:rsidRPr="000C078E">
        <w:rPr>
          <w:rFonts w:ascii="Aptos" w:hAnsi="Aptos"/>
          <w:b/>
          <w:bCs/>
        </w:rPr>
        <w:t>Proposal 3: The AIoT-aware CN node should provide a temporary identifier to the AIoT RAN node for inventory.</w:t>
      </w:r>
    </w:p>
    <w:p w14:paraId="34DBADD3" w14:textId="77777777" w:rsidR="00841A2F" w:rsidRPr="00841A2F" w:rsidRDefault="00841A2F" w:rsidP="00841A2F">
      <w:pPr>
        <w:spacing w:after="120"/>
        <w:rPr>
          <w:rFonts w:ascii="Aptos" w:eastAsia="宋体" w:hAnsi="Aptos"/>
          <w:bCs/>
          <w:lang w:eastAsia="zh-CN"/>
        </w:rPr>
      </w:pPr>
      <w:r w:rsidRPr="00841A2F">
        <w:rPr>
          <w:rFonts w:ascii="Aptos" w:eastAsia="宋体" w:hAnsi="Aptos"/>
          <w:bCs/>
          <w:lang w:eastAsia="zh-CN"/>
        </w:rPr>
        <w:t>After obtaining the AIoT device ID (e.g., EPC), the AIoT-aware CN node may perform a specific command service operation with the AIoT device, e.g., reading, writing. In this case, it is better to establish a AIoT device associated connection over the xx interface, which is similar to the existing UE associated NGAP signalling.</w:t>
      </w:r>
    </w:p>
    <w:p w14:paraId="6AA8583C" w14:textId="77777777" w:rsidR="00841A2F" w:rsidRPr="000C078E" w:rsidRDefault="00841A2F" w:rsidP="006847A4">
      <w:pPr>
        <w:spacing w:after="120"/>
        <w:ind w:left="1100" w:hangingChars="550" w:hanging="1100"/>
        <w:rPr>
          <w:rFonts w:ascii="Aptos" w:hAnsi="Aptos"/>
          <w:b/>
          <w:bCs/>
        </w:rPr>
      </w:pPr>
      <w:r w:rsidRPr="000C078E">
        <w:rPr>
          <w:rFonts w:ascii="Aptos" w:hAnsi="Aptos"/>
          <w:b/>
          <w:bCs/>
        </w:rPr>
        <w:t>Proposal 4: Establish AIoT device associated signalling over xx interface between the AIoT RAN node and the AIoT-aware CN node to support command service operation.</w:t>
      </w:r>
    </w:p>
    <w:p w14:paraId="602C6B32" w14:textId="77777777" w:rsidR="00BA1A88" w:rsidRPr="00BA1A88" w:rsidRDefault="00BA1A88" w:rsidP="00BA1A88">
      <w:pPr>
        <w:spacing w:after="120"/>
        <w:rPr>
          <w:rFonts w:ascii="Aptos" w:hAnsi="Aptos"/>
        </w:rPr>
      </w:pPr>
      <w:r w:rsidRPr="00BA1A88">
        <w:rPr>
          <w:rFonts w:ascii="Aptos" w:hAnsi="Aptos"/>
          <w:lang w:eastAsia="zh-CN"/>
        </w:rPr>
        <w:t xml:space="preserve">Considering that the </w:t>
      </w:r>
      <w:r w:rsidRPr="00BA1A88">
        <w:rPr>
          <w:rFonts w:ascii="Aptos" w:eastAsia="宋体" w:hAnsi="Aptos"/>
          <w:lang w:eastAsia="zh-CN"/>
        </w:rPr>
        <w:t xml:space="preserve">AIoT device is with ultra-low power consumption and limited energy storage, the maximum message size is </w:t>
      </w:r>
      <w:r w:rsidRPr="00BA1A88">
        <w:rPr>
          <w:rFonts w:ascii="Aptos" w:hAnsi="Aptos"/>
        </w:rPr>
        <w:t xml:space="preserve">approximately 1000 bits to be received by the </w:t>
      </w:r>
      <w:bookmarkStart w:id="5" w:name="_Hlk162540015"/>
      <w:r w:rsidRPr="00BA1A88">
        <w:rPr>
          <w:rFonts w:ascii="Aptos" w:hAnsi="Aptos"/>
        </w:rPr>
        <w:t>AIoT device</w:t>
      </w:r>
      <w:bookmarkEnd w:id="5"/>
      <w:r w:rsidRPr="00BA1A88">
        <w:rPr>
          <w:rFonts w:ascii="Aptos" w:hAnsi="Aptos"/>
        </w:rPr>
        <w:t xml:space="preserve">, and approximately 1000 bits to be transmitted from the AIoT device, based on the maximum application layer packet size [1]. </w:t>
      </w:r>
    </w:p>
    <w:p w14:paraId="231936B5" w14:textId="77777777" w:rsidR="00BA1A88" w:rsidRPr="00BA1A88" w:rsidRDefault="00BA1A88" w:rsidP="00BA1A88">
      <w:pPr>
        <w:spacing w:after="120"/>
        <w:rPr>
          <w:rFonts w:ascii="Aptos" w:hAnsi="Aptos"/>
        </w:rPr>
      </w:pPr>
      <w:r w:rsidRPr="00BA1A88">
        <w:rPr>
          <w:rFonts w:ascii="Aptos" w:hAnsi="Aptos"/>
          <w:lang w:eastAsia="zh-CN"/>
        </w:rPr>
        <w:t xml:space="preserve">Therefore, the legacy PDU session / QoS flow based data transfer is not suitable for such </w:t>
      </w:r>
      <w:r w:rsidRPr="00BA1A88">
        <w:rPr>
          <w:rFonts w:ascii="Aptos" w:hAnsi="Aptos"/>
        </w:rPr>
        <w:t>AIoT device. Instead, the control plane based data transfer should be introduced for the AIoT. For example, the inventory request information could be included in a control plane message sent from the AIoT-aware CN node to the AIoT RAN node, while the inventory response information including one AIoT device ID (e.g., EPC) could be sent from the AIoT RAN node to the AIoT-aware CN node using a control plane message, as shown below. The detailed control plane message is FFS.</w:t>
      </w:r>
    </w:p>
    <w:p w14:paraId="1954738E" w14:textId="31779E01" w:rsidR="00BA1A88" w:rsidRDefault="00A57A1A" w:rsidP="00A57A1A">
      <w:pPr>
        <w:jc w:val="center"/>
      </w:pPr>
      <w:r>
        <w:object w:dxaOrig="11221" w:dyaOrig="4321" w14:anchorId="19881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67pt" o:ole="">
            <v:imagedata r:id="rId8" o:title=""/>
          </v:shape>
          <o:OLEObject Type="Embed" ProgID="Visio.Drawing.15" ShapeID="_x0000_i1025" DrawAspect="Content" ObjectID="_1789411368" r:id="rId9"/>
        </w:object>
      </w:r>
    </w:p>
    <w:p w14:paraId="57E1D218"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tep 1: The AIoT-aware CN node sends a control plane message to the AIoT RAN node, including the inventory request information. The inventory request information may be included in a NAS message embedded in the control plane message.</w:t>
      </w:r>
    </w:p>
    <w:p w14:paraId="0D45D5D0"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tep 2: The AIoT RAN node triggers the random access procedure to obtain the AIoT device ID (e.g., EPC) of the AIoT device. The AIoT device ID may be included in a NAS message.</w:t>
      </w:r>
    </w:p>
    <w:p w14:paraId="4B28400A" w14:textId="77777777" w:rsidR="00BA1A88" w:rsidRPr="00015E43" w:rsidRDefault="00BA1A88" w:rsidP="00015E43">
      <w:pPr>
        <w:pStyle w:val="B1"/>
        <w:spacing w:after="120"/>
        <w:rPr>
          <w:rFonts w:ascii="Aptos" w:hAnsi="Aptos"/>
          <w:lang w:eastAsia="zh-CN"/>
        </w:rPr>
      </w:pPr>
      <w:r w:rsidRPr="00015E43">
        <w:rPr>
          <w:rFonts w:ascii="Aptos" w:hAnsi="Aptos" w:hint="eastAsia"/>
          <w:lang w:eastAsia="zh-CN"/>
        </w:rPr>
        <w:t>-</w:t>
      </w:r>
      <w:r w:rsidRPr="00015E43">
        <w:rPr>
          <w:rFonts w:ascii="Aptos" w:hAnsi="Aptos" w:hint="eastAsia"/>
          <w:lang w:eastAsia="zh-CN"/>
        </w:rPr>
        <w:tab/>
        <w:t>S</w:t>
      </w:r>
      <w:r w:rsidRPr="00015E43">
        <w:rPr>
          <w:rFonts w:ascii="Aptos" w:hAnsi="Aptos"/>
          <w:lang w:eastAsia="zh-CN"/>
        </w:rPr>
        <w:t>tep 3: The AIoT RAN node forwards the received AIoT device ID to the AIoT-aware CN node. The AIoT device ID may be included in a NAS message embedded in the inventory response, which is included in a control plane message.</w:t>
      </w:r>
    </w:p>
    <w:p w14:paraId="622D914E" w14:textId="0E27E71B" w:rsidR="00BA1A88" w:rsidRPr="00015E43" w:rsidRDefault="00BA1A88" w:rsidP="00015E43">
      <w:pPr>
        <w:spacing w:after="120"/>
        <w:ind w:left="1000" w:hangingChars="500" w:hanging="1000"/>
        <w:rPr>
          <w:rFonts w:ascii="Aptos" w:hAnsi="Aptos"/>
          <w:b/>
          <w:bCs/>
        </w:rPr>
      </w:pPr>
      <w:r w:rsidRPr="00015E43">
        <w:rPr>
          <w:rFonts w:ascii="Aptos" w:hAnsi="Aptos"/>
          <w:b/>
          <w:bCs/>
        </w:rPr>
        <w:t xml:space="preserve">Proposal </w:t>
      </w:r>
      <w:r w:rsidR="00015E43">
        <w:rPr>
          <w:rFonts w:ascii="Aptos" w:hAnsi="Aptos" w:hint="eastAsia"/>
          <w:b/>
          <w:bCs/>
          <w:lang w:eastAsia="zh-CN"/>
        </w:rPr>
        <w:t>5</w:t>
      </w:r>
      <w:r w:rsidRPr="00015E43">
        <w:rPr>
          <w:rFonts w:ascii="Aptos" w:hAnsi="Aptos"/>
          <w:b/>
          <w:bCs/>
        </w:rPr>
        <w:t>: Control plane based data transfer should be used for the AIoT.</w:t>
      </w:r>
    </w:p>
    <w:p w14:paraId="092C36BB" w14:textId="77777777" w:rsidR="00BA1A88" w:rsidRPr="00015E43" w:rsidRDefault="00BA1A88" w:rsidP="00015E43">
      <w:pPr>
        <w:spacing w:after="120"/>
        <w:rPr>
          <w:rFonts w:ascii="Aptos" w:hAnsi="Aptos"/>
          <w:lang w:eastAsia="zh-CN"/>
        </w:rPr>
      </w:pPr>
      <w:r w:rsidRPr="00015E43">
        <w:rPr>
          <w:rFonts w:ascii="Aptos" w:hAnsi="Aptos"/>
          <w:lang w:eastAsia="zh-CN"/>
        </w:rPr>
        <w:t xml:space="preserve">Considering the huge number of the AIoT devices, the data transfer for a single terminal may not be sufficient for the AIoT. </w:t>
      </w:r>
    </w:p>
    <w:p w14:paraId="003C4BCD" w14:textId="77777777" w:rsidR="00BA1A88" w:rsidRPr="00015E43" w:rsidRDefault="00BA1A88" w:rsidP="00015E43">
      <w:pPr>
        <w:spacing w:after="120"/>
        <w:rPr>
          <w:rFonts w:ascii="Aptos" w:hAnsi="Aptos"/>
          <w:lang w:eastAsia="zh-CN"/>
        </w:rPr>
      </w:pPr>
      <w:r w:rsidRPr="00015E43">
        <w:rPr>
          <w:rFonts w:ascii="Aptos" w:hAnsi="Aptos"/>
          <w:lang w:eastAsia="zh-CN"/>
        </w:rPr>
        <w:t>A possible solution is to introduce the group based data transfer mechanism. For example, the AIoT RAN node collects the AIoT device IDs from multiple AIoT devices and sends the AIoT device IDs of multiple AIoT devices to the AIoT-aware CN node together. With this method, the signalling overhead could be reduced.</w:t>
      </w:r>
    </w:p>
    <w:p w14:paraId="24349CDD" w14:textId="7F0A4308" w:rsidR="00BA1A88" w:rsidRDefault="00A57A1A" w:rsidP="00A57A1A">
      <w:pPr>
        <w:jc w:val="center"/>
      </w:pPr>
      <w:r>
        <w:object w:dxaOrig="12361" w:dyaOrig="6301" w14:anchorId="15E07D1C">
          <v:shape id="_x0000_i1026" type="#_x0000_t75" style="width:435pt;height:222pt" o:ole="">
            <v:imagedata r:id="rId10" o:title=""/>
          </v:shape>
          <o:OLEObject Type="Embed" ProgID="Visio.Drawing.15" ShapeID="_x0000_i1026" DrawAspect="Content" ObjectID="_1789411369" r:id="rId11"/>
        </w:object>
      </w:r>
    </w:p>
    <w:p w14:paraId="11729644"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tep 1: The AIoT-aware CN node sends a control plane message to the AIoT RAN node, including the inventory request information. The inventory request information may be a group ID.</w:t>
      </w:r>
    </w:p>
    <w:p w14:paraId="73FB779B"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 xml:space="preserve">tep 2: The AIoT RAN node triggers the random access procedure to obtain the AIoT device IDs of the multiple AIoT devices within the group. </w:t>
      </w:r>
    </w:p>
    <w:p w14:paraId="11286B66" w14:textId="77777777" w:rsidR="00BA1A88" w:rsidRPr="006847A4" w:rsidRDefault="00BA1A88" w:rsidP="006847A4">
      <w:pPr>
        <w:pStyle w:val="B1"/>
        <w:spacing w:after="120"/>
        <w:rPr>
          <w:rFonts w:ascii="Aptos" w:hAnsi="Aptos"/>
          <w:lang w:eastAsia="zh-CN"/>
        </w:rPr>
      </w:pPr>
      <w:r w:rsidRPr="006847A4">
        <w:rPr>
          <w:rFonts w:ascii="Aptos" w:hAnsi="Aptos" w:hint="eastAsia"/>
          <w:lang w:eastAsia="zh-CN"/>
        </w:rPr>
        <w:t>-</w:t>
      </w:r>
      <w:r w:rsidRPr="006847A4">
        <w:rPr>
          <w:rFonts w:ascii="Aptos" w:hAnsi="Aptos" w:hint="eastAsia"/>
          <w:lang w:eastAsia="zh-CN"/>
        </w:rPr>
        <w:tab/>
        <w:t>S</w:t>
      </w:r>
      <w:r w:rsidRPr="006847A4">
        <w:rPr>
          <w:rFonts w:ascii="Aptos" w:hAnsi="Aptos"/>
          <w:lang w:eastAsia="zh-CN"/>
        </w:rPr>
        <w:t>tep 3: The AIoT RAN node groups the received AIoT device IDs, and sends the device IDs of the multiple AIoT devices to the AIoT-aware CN node in one control plane message. The AIoT RAN node should use a non-UE associated signalling to transmit the AIoT device IDs of multiple AIoT devices to the AIoT-aware CN node.</w:t>
      </w:r>
    </w:p>
    <w:p w14:paraId="56ACE5B8" w14:textId="1AEDA012" w:rsidR="00BA1A88" w:rsidRPr="006847A4" w:rsidRDefault="00BA1A88" w:rsidP="006847A4">
      <w:pPr>
        <w:spacing w:after="120"/>
        <w:ind w:left="1100" w:hangingChars="550" w:hanging="1100"/>
        <w:rPr>
          <w:rFonts w:ascii="Aptos" w:hAnsi="Aptos"/>
          <w:b/>
          <w:bCs/>
        </w:rPr>
      </w:pPr>
      <w:r w:rsidRPr="006847A4">
        <w:rPr>
          <w:rFonts w:ascii="Aptos" w:hAnsi="Aptos"/>
          <w:b/>
          <w:bCs/>
        </w:rPr>
        <w:t xml:space="preserve">Proposal </w:t>
      </w:r>
      <w:r w:rsidR="006847A4">
        <w:rPr>
          <w:rFonts w:ascii="Aptos" w:hAnsi="Aptos" w:hint="eastAsia"/>
          <w:b/>
          <w:bCs/>
        </w:rPr>
        <w:t>6</w:t>
      </w:r>
      <w:r w:rsidRPr="006847A4">
        <w:rPr>
          <w:rFonts w:ascii="Aptos" w:hAnsi="Aptos"/>
          <w:b/>
          <w:bCs/>
        </w:rPr>
        <w:t>: To support the large-scale AIoT devices, the AIoT RAN node may send the data of multiple AIoT devices to the AIoT-aware CN node together for inventory, using non-UE associated signalling.</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rFonts w:ascii="Aptos" w:hAnsi="Aptos"/>
          <w:lang w:eastAsia="zh-CN"/>
        </w:rPr>
      </w:pPr>
      <w:r w:rsidRPr="00C51C72">
        <w:rPr>
          <w:rFonts w:ascii="Aptos" w:hAnsi="Aptos"/>
          <w:lang w:eastAsia="zh-CN"/>
        </w:rPr>
        <w:t xml:space="preserve">Based on the discussion in this paper, we </w:t>
      </w:r>
      <w:r w:rsidR="00A07243" w:rsidRPr="00C51C72">
        <w:rPr>
          <w:rFonts w:ascii="Aptos" w:hAnsi="Aptos"/>
          <w:lang w:eastAsia="zh-CN"/>
        </w:rPr>
        <w:t>have the following observations and proposal</w:t>
      </w:r>
      <w:r w:rsidR="007A39B3" w:rsidRPr="00C51C72">
        <w:rPr>
          <w:rFonts w:ascii="Aptos" w:hAnsi="Aptos"/>
          <w:lang w:eastAsia="zh-CN"/>
        </w:rPr>
        <w:t>s</w:t>
      </w:r>
      <w:r w:rsidR="001E7BDA" w:rsidRPr="00C51C72">
        <w:rPr>
          <w:rFonts w:ascii="Aptos" w:hAnsi="Aptos"/>
          <w:lang w:eastAsia="zh-CN"/>
        </w:rPr>
        <w:t>.</w:t>
      </w:r>
    </w:p>
    <w:p w14:paraId="39839F8B" w14:textId="77777777" w:rsidR="00BF5B6D" w:rsidRPr="00841A2F" w:rsidRDefault="00BF5B6D" w:rsidP="00BF5B6D">
      <w:pPr>
        <w:spacing w:after="120"/>
        <w:ind w:left="1205" w:hangingChars="600" w:hanging="1205"/>
        <w:rPr>
          <w:rFonts w:ascii="Aptos" w:eastAsia="宋体" w:hAnsi="Aptos"/>
          <w:b/>
          <w:bCs/>
          <w:lang w:eastAsia="zh-CN"/>
        </w:rPr>
      </w:pPr>
      <w:r w:rsidRPr="00841A2F">
        <w:rPr>
          <w:rFonts w:ascii="Aptos" w:eastAsia="宋体" w:hAnsi="Aptos"/>
          <w:b/>
          <w:lang w:eastAsia="zh-CN"/>
        </w:rPr>
        <w:t xml:space="preserve">Proposal 1: </w:t>
      </w:r>
      <w:r w:rsidRPr="00841A2F">
        <w:rPr>
          <w:rFonts w:ascii="Aptos" w:hAnsi="Aptos"/>
          <w:b/>
          <w:bCs/>
        </w:rPr>
        <w:t>PDU session management and UE mobility management do not apply to the AIoT.</w:t>
      </w:r>
    </w:p>
    <w:p w14:paraId="0159ECB1" w14:textId="77777777" w:rsidR="00BF5B6D" w:rsidRPr="00841A2F" w:rsidRDefault="00BF5B6D" w:rsidP="00BF5B6D">
      <w:pPr>
        <w:spacing w:after="120"/>
        <w:ind w:left="1305" w:hangingChars="650" w:hanging="1305"/>
        <w:rPr>
          <w:rFonts w:ascii="Aptos" w:eastAsia="宋体" w:hAnsi="Aptos"/>
          <w:b/>
          <w:lang w:eastAsia="zh-CN"/>
        </w:rPr>
      </w:pPr>
      <w:r w:rsidRPr="00841A2F">
        <w:rPr>
          <w:rFonts w:ascii="Aptos" w:eastAsia="宋体" w:hAnsi="Aptos"/>
          <w:b/>
          <w:lang w:eastAsia="zh-CN"/>
        </w:rPr>
        <w:t>Observation 1: For topology 1, the AIoT device ID (e.g., EPC) should be included in the NAS/application message during the transmission between the AIoT RAN node and the AioT-aware CN node.</w:t>
      </w:r>
    </w:p>
    <w:p w14:paraId="78FA6A16" w14:textId="77777777" w:rsidR="00BF5B6D" w:rsidRPr="00841A2F" w:rsidRDefault="00BF5B6D" w:rsidP="00BF5B6D">
      <w:pPr>
        <w:spacing w:after="120"/>
        <w:ind w:left="1305" w:hangingChars="650" w:hanging="1305"/>
        <w:rPr>
          <w:rFonts w:ascii="Aptos" w:eastAsia="宋体" w:hAnsi="Aptos"/>
          <w:b/>
          <w:lang w:eastAsia="zh-CN"/>
        </w:rPr>
      </w:pPr>
      <w:r w:rsidRPr="00841A2F">
        <w:rPr>
          <w:rFonts w:ascii="Aptos" w:eastAsia="宋体" w:hAnsi="Aptos"/>
          <w:b/>
          <w:lang w:eastAsia="zh-CN"/>
        </w:rPr>
        <w:t>Observation 2: For topology 2, the A</w:t>
      </w:r>
      <w:r>
        <w:rPr>
          <w:rFonts w:ascii="Aptos" w:eastAsia="宋体" w:hAnsi="Aptos" w:hint="eastAsia"/>
          <w:b/>
          <w:lang w:eastAsia="zh-CN"/>
        </w:rPr>
        <w:t>I</w:t>
      </w:r>
      <w:r w:rsidRPr="00841A2F">
        <w:rPr>
          <w:rFonts w:ascii="Aptos" w:eastAsia="宋体" w:hAnsi="Aptos"/>
          <w:b/>
          <w:lang w:eastAsia="zh-CN"/>
        </w:rPr>
        <w:t>oT device ID (e.g., EPC) should be included in the NAS/application message during the transmission between the UE reader and the AIoT-aware CN node.</w:t>
      </w:r>
    </w:p>
    <w:p w14:paraId="76876789" w14:textId="77777777" w:rsidR="00BF5B6D" w:rsidRPr="000C078E" w:rsidRDefault="00BF5B6D" w:rsidP="00BF5B6D">
      <w:pPr>
        <w:spacing w:after="120"/>
        <w:ind w:left="1200" w:hangingChars="600" w:hanging="1200"/>
        <w:rPr>
          <w:rFonts w:ascii="Aptos" w:hAnsi="Aptos"/>
          <w:b/>
          <w:bCs/>
        </w:rPr>
      </w:pPr>
      <w:r w:rsidRPr="000C078E">
        <w:rPr>
          <w:rFonts w:ascii="Aptos" w:hAnsi="Aptos"/>
          <w:b/>
          <w:bCs/>
        </w:rPr>
        <w:t>Proposal 2: The</w:t>
      </w:r>
      <w:r w:rsidRPr="00841A2F">
        <w:rPr>
          <w:rFonts w:ascii="Aptos" w:hAnsi="Aptos"/>
          <w:b/>
          <w:bCs/>
        </w:rPr>
        <w:t xml:space="preserve"> permanent AIoT device ID (e.g., EPC) should be transparent to the AIoT RAN node</w:t>
      </w:r>
      <w:r w:rsidRPr="000C078E">
        <w:rPr>
          <w:rFonts w:ascii="Aptos" w:hAnsi="Aptos"/>
          <w:b/>
          <w:bCs/>
        </w:rPr>
        <w:t>.</w:t>
      </w:r>
    </w:p>
    <w:p w14:paraId="6B4D7498" w14:textId="77777777" w:rsidR="00BF5B6D" w:rsidRPr="000C078E" w:rsidRDefault="00BF5B6D" w:rsidP="00BF5B6D">
      <w:pPr>
        <w:spacing w:after="120"/>
        <w:ind w:left="1100" w:hangingChars="550" w:hanging="1100"/>
        <w:rPr>
          <w:rFonts w:ascii="Aptos" w:hAnsi="Aptos"/>
          <w:b/>
          <w:bCs/>
        </w:rPr>
      </w:pPr>
      <w:r w:rsidRPr="000C078E">
        <w:rPr>
          <w:rFonts w:ascii="Aptos" w:hAnsi="Aptos"/>
          <w:b/>
          <w:bCs/>
        </w:rPr>
        <w:t>Proposal 3: The AIoT-aware CN node should provide a temporary identifier to the AIoT RAN node for inventory.</w:t>
      </w:r>
    </w:p>
    <w:p w14:paraId="45937E3A" w14:textId="77777777" w:rsidR="00BF5B6D" w:rsidRPr="000C078E" w:rsidRDefault="00BF5B6D" w:rsidP="00BF5B6D">
      <w:pPr>
        <w:spacing w:after="120"/>
        <w:ind w:left="1100" w:hangingChars="550" w:hanging="1100"/>
        <w:rPr>
          <w:rFonts w:ascii="Aptos" w:hAnsi="Aptos"/>
          <w:b/>
          <w:bCs/>
        </w:rPr>
      </w:pPr>
      <w:r w:rsidRPr="000C078E">
        <w:rPr>
          <w:rFonts w:ascii="Aptos" w:hAnsi="Aptos"/>
          <w:b/>
          <w:bCs/>
        </w:rPr>
        <w:t>Proposal 4: Establish AIoT device associated signalling over xx interface between the AIoT RAN node and the AIoT-aware CN node to support command service operation.</w:t>
      </w:r>
    </w:p>
    <w:p w14:paraId="3A027839" w14:textId="77777777" w:rsidR="00BF5B6D" w:rsidRPr="00015E43" w:rsidRDefault="00BF5B6D" w:rsidP="00BF5B6D">
      <w:pPr>
        <w:spacing w:after="120"/>
        <w:ind w:left="1000" w:hangingChars="500" w:hanging="1000"/>
        <w:rPr>
          <w:rFonts w:ascii="Aptos" w:hAnsi="Aptos"/>
          <w:b/>
          <w:bCs/>
        </w:rPr>
      </w:pPr>
      <w:r w:rsidRPr="00015E43">
        <w:rPr>
          <w:rFonts w:ascii="Aptos" w:hAnsi="Aptos"/>
          <w:b/>
          <w:bCs/>
        </w:rPr>
        <w:t xml:space="preserve">Proposal </w:t>
      </w:r>
      <w:r>
        <w:rPr>
          <w:rFonts w:ascii="Aptos" w:hAnsi="Aptos" w:hint="eastAsia"/>
          <w:b/>
          <w:bCs/>
          <w:lang w:eastAsia="zh-CN"/>
        </w:rPr>
        <w:t>5</w:t>
      </w:r>
      <w:r w:rsidRPr="00015E43">
        <w:rPr>
          <w:rFonts w:ascii="Aptos" w:hAnsi="Aptos"/>
          <w:b/>
          <w:bCs/>
        </w:rPr>
        <w:t>: Control plane based data transfer should be used for the AIoT.</w:t>
      </w:r>
    </w:p>
    <w:p w14:paraId="4E3CF2C8" w14:textId="77777777" w:rsidR="00BF5B6D" w:rsidRPr="006847A4" w:rsidRDefault="00BF5B6D" w:rsidP="00BF5B6D">
      <w:pPr>
        <w:spacing w:after="120"/>
        <w:ind w:left="1100" w:hangingChars="550" w:hanging="1100"/>
        <w:rPr>
          <w:rFonts w:ascii="Aptos" w:hAnsi="Aptos"/>
          <w:b/>
          <w:bCs/>
        </w:rPr>
      </w:pPr>
      <w:r w:rsidRPr="006847A4">
        <w:rPr>
          <w:rFonts w:ascii="Aptos" w:hAnsi="Aptos"/>
          <w:b/>
          <w:bCs/>
        </w:rPr>
        <w:t xml:space="preserve">Proposal </w:t>
      </w:r>
      <w:r>
        <w:rPr>
          <w:rFonts w:ascii="Aptos" w:hAnsi="Aptos" w:hint="eastAsia"/>
          <w:b/>
          <w:bCs/>
        </w:rPr>
        <w:t>6</w:t>
      </w:r>
      <w:r w:rsidRPr="006847A4">
        <w:rPr>
          <w:rFonts w:ascii="Aptos" w:hAnsi="Aptos"/>
          <w:b/>
          <w:bCs/>
        </w:rPr>
        <w:t>: To support the large-scale AIoT devices, the AIoT RAN node may send the data of multiple AIoT devices to the AIoT-aware CN node together for inventory, using non-UE associated signalling.</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02CD33F8" w14:textId="21342C1F" w:rsidR="00D96012" w:rsidRPr="002445D3" w:rsidRDefault="009758D8" w:rsidP="00B31F36">
      <w:pPr>
        <w:numPr>
          <w:ilvl w:val="0"/>
          <w:numId w:val="9"/>
        </w:numPr>
        <w:rPr>
          <w:rFonts w:ascii="Aptos" w:hAnsi="Aptos"/>
          <w:lang w:eastAsia="zh-CN"/>
        </w:rPr>
      </w:pPr>
      <w:r w:rsidRPr="002445D3">
        <w:rPr>
          <w:rFonts w:ascii="Aptos" w:hAnsi="Aptos"/>
          <w:lang w:eastAsia="zh-CN"/>
        </w:rPr>
        <w:t>3GPP TR 38.848, Study on Ambient IoT (Internet of Things) in RAN.</w:t>
      </w:r>
    </w:p>
    <w:sectPr w:rsidR="00D96012" w:rsidRPr="002445D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91D1" w14:textId="77777777" w:rsidR="003E7F12" w:rsidRDefault="003E7F12">
      <w:r>
        <w:separator/>
      </w:r>
    </w:p>
  </w:endnote>
  <w:endnote w:type="continuationSeparator" w:id="0">
    <w:p w14:paraId="17B6B426" w14:textId="77777777" w:rsidR="003E7F12" w:rsidRDefault="003E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444A" w14:textId="77777777" w:rsidR="003E7F12" w:rsidRDefault="003E7F12">
      <w:r>
        <w:separator/>
      </w:r>
    </w:p>
  </w:footnote>
  <w:footnote w:type="continuationSeparator" w:id="0">
    <w:p w14:paraId="38A28DB2" w14:textId="77777777" w:rsidR="003E7F12" w:rsidRDefault="003E7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2"/>
  </w:num>
  <w:num w:numId="4" w16cid:durableId="879975754">
    <w:abstractNumId w:val="29"/>
  </w:num>
  <w:num w:numId="5" w16cid:durableId="1332634518">
    <w:abstractNumId w:val="3"/>
  </w:num>
  <w:num w:numId="6" w16cid:durableId="650795980">
    <w:abstractNumId w:val="9"/>
  </w:num>
  <w:num w:numId="7" w16cid:durableId="672611323">
    <w:abstractNumId w:val="22"/>
  </w:num>
  <w:num w:numId="8" w16cid:durableId="1503281965">
    <w:abstractNumId w:val="24"/>
  </w:num>
  <w:num w:numId="9" w16cid:durableId="919560291">
    <w:abstractNumId w:val="13"/>
  </w:num>
  <w:num w:numId="10" w16cid:durableId="363211323">
    <w:abstractNumId w:val="16"/>
  </w:num>
  <w:num w:numId="11" w16cid:durableId="1223567139">
    <w:abstractNumId w:val="37"/>
  </w:num>
  <w:num w:numId="12" w16cid:durableId="720981780">
    <w:abstractNumId w:val="28"/>
  </w:num>
  <w:num w:numId="13" w16cid:durableId="1483542519">
    <w:abstractNumId w:val="19"/>
    <w:lvlOverride w:ilvl="0">
      <w:startOverride w:val="1"/>
    </w:lvlOverride>
  </w:num>
  <w:num w:numId="14" w16cid:durableId="448166097">
    <w:abstractNumId w:val="17"/>
  </w:num>
  <w:num w:numId="15" w16cid:durableId="850336619">
    <w:abstractNumId w:val="37"/>
  </w:num>
  <w:num w:numId="16" w16cid:durableId="1026178845">
    <w:abstractNumId w:val="37"/>
  </w:num>
  <w:num w:numId="17" w16cid:durableId="1740013003">
    <w:abstractNumId w:val="36"/>
  </w:num>
  <w:num w:numId="18" w16cid:durableId="1571234415">
    <w:abstractNumId w:val="38"/>
  </w:num>
  <w:num w:numId="19" w16cid:durableId="68887866">
    <w:abstractNumId w:val="27"/>
  </w:num>
  <w:num w:numId="20" w16cid:durableId="1259674517">
    <w:abstractNumId w:val="32"/>
  </w:num>
  <w:num w:numId="21" w16cid:durableId="829949474">
    <w:abstractNumId w:val="0"/>
  </w:num>
  <w:num w:numId="22" w16cid:durableId="1177883150">
    <w:abstractNumId w:val="26"/>
  </w:num>
  <w:num w:numId="23" w16cid:durableId="1056971179">
    <w:abstractNumId w:val="12"/>
  </w:num>
  <w:num w:numId="24" w16cid:durableId="1485967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3"/>
  </w:num>
  <w:num w:numId="27" w16cid:durableId="844324522">
    <w:abstractNumId w:val="37"/>
  </w:num>
  <w:num w:numId="28" w16cid:durableId="2117141257">
    <w:abstractNumId w:val="39"/>
  </w:num>
  <w:num w:numId="29" w16cid:durableId="1276868909">
    <w:abstractNumId w:val="33"/>
  </w:num>
  <w:num w:numId="30" w16cid:durableId="405877625">
    <w:abstractNumId w:val="30"/>
  </w:num>
  <w:num w:numId="31" w16cid:durableId="894195002">
    <w:abstractNumId w:val="2"/>
  </w:num>
  <w:num w:numId="32" w16cid:durableId="1653099738">
    <w:abstractNumId w:val="14"/>
  </w:num>
  <w:num w:numId="33" w16cid:durableId="1180777512">
    <w:abstractNumId w:val="34"/>
  </w:num>
  <w:num w:numId="34" w16cid:durableId="1307860098">
    <w:abstractNumId w:val="1"/>
  </w:num>
  <w:num w:numId="35" w16cid:durableId="1200163081">
    <w:abstractNumId w:val="18"/>
  </w:num>
  <w:num w:numId="36" w16cid:durableId="21489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5"/>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1"/>
  </w:num>
  <w:num w:numId="43" w16cid:durableId="1841769703">
    <w:abstractNumId w:val="20"/>
  </w:num>
  <w:num w:numId="44" w16cid:durableId="489369100">
    <w:abstractNumId w:val="11"/>
  </w:num>
  <w:num w:numId="45" w16cid:durableId="1404638905">
    <w:abstractNumId w:val="15"/>
  </w:num>
  <w:num w:numId="46" w16cid:durableId="1577738105">
    <w:abstractNumId w:val="41"/>
  </w:num>
  <w:num w:numId="47" w16cid:durableId="15402393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5E43"/>
    <w:rsid w:val="0001679F"/>
    <w:rsid w:val="0001701A"/>
    <w:rsid w:val="00017056"/>
    <w:rsid w:val="00017477"/>
    <w:rsid w:val="00017C43"/>
    <w:rsid w:val="00017CD1"/>
    <w:rsid w:val="000205C0"/>
    <w:rsid w:val="00020AC7"/>
    <w:rsid w:val="00020BFF"/>
    <w:rsid w:val="000224E8"/>
    <w:rsid w:val="000224F0"/>
    <w:rsid w:val="00022E48"/>
    <w:rsid w:val="00022E4A"/>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78E"/>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41D"/>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A5A"/>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EAE"/>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2E8"/>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7C2"/>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12"/>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45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2BBD"/>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7A4"/>
    <w:rsid w:val="006848EE"/>
    <w:rsid w:val="006853A9"/>
    <w:rsid w:val="00685676"/>
    <w:rsid w:val="00685B3B"/>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32B"/>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1A2F"/>
    <w:rsid w:val="008421D3"/>
    <w:rsid w:val="0084259C"/>
    <w:rsid w:val="00842F5B"/>
    <w:rsid w:val="00843579"/>
    <w:rsid w:val="00843B67"/>
    <w:rsid w:val="00843CB9"/>
    <w:rsid w:val="0084422A"/>
    <w:rsid w:val="00846588"/>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70"/>
    <w:rsid w:val="008B03C4"/>
    <w:rsid w:val="008B0631"/>
    <w:rsid w:val="008B1A4E"/>
    <w:rsid w:val="008B26A5"/>
    <w:rsid w:val="008B2872"/>
    <w:rsid w:val="008B291E"/>
    <w:rsid w:val="008B47BD"/>
    <w:rsid w:val="008B6BBE"/>
    <w:rsid w:val="008B6E40"/>
    <w:rsid w:val="008B709E"/>
    <w:rsid w:val="008B751B"/>
    <w:rsid w:val="008B7DE4"/>
    <w:rsid w:val="008C0349"/>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734"/>
    <w:rsid w:val="00992F7D"/>
    <w:rsid w:val="009930E6"/>
    <w:rsid w:val="009935B7"/>
    <w:rsid w:val="00993616"/>
    <w:rsid w:val="00993A5A"/>
    <w:rsid w:val="00995364"/>
    <w:rsid w:val="0099570D"/>
    <w:rsid w:val="00995B10"/>
    <w:rsid w:val="00996A4D"/>
    <w:rsid w:val="00996FE1"/>
    <w:rsid w:val="009970D4"/>
    <w:rsid w:val="00997584"/>
    <w:rsid w:val="00997F4A"/>
    <w:rsid w:val="009A08E3"/>
    <w:rsid w:val="009A11AF"/>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57A1A"/>
    <w:rsid w:val="00A61D78"/>
    <w:rsid w:val="00A6222B"/>
    <w:rsid w:val="00A62B37"/>
    <w:rsid w:val="00A632EB"/>
    <w:rsid w:val="00A638C7"/>
    <w:rsid w:val="00A63C72"/>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9CC"/>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1A88"/>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5B6D"/>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251"/>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5A41"/>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Mingzeng-Lenovo</cp:lastModifiedBy>
  <cp:revision>171</cp:revision>
  <cp:lastPrinted>2009-04-22T07:01:00Z</cp:lastPrinted>
  <dcterms:created xsi:type="dcterms:W3CDTF">2024-04-04T13:57:00Z</dcterms:created>
  <dcterms:modified xsi:type="dcterms:W3CDTF">2024-10-02T13:56:00Z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